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0F04" w14:textId="77777777" w:rsidR="00D34675" w:rsidRDefault="00355775" w:rsidP="00355775">
      <w:pPr>
        <w:pStyle w:val="Title"/>
      </w:pPr>
      <w:r>
        <w:t>Policy on Confidentiality</w:t>
      </w:r>
    </w:p>
    <w:p w14:paraId="0D590F06" w14:textId="77777777" w:rsidR="00355775" w:rsidRDefault="00355775" w:rsidP="00355775">
      <w:r>
        <w:t xml:space="preserve">The </w:t>
      </w:r>
      <w:r w:rsidR="008B7E64" w:rsidRPr="00B62012">
        <w:rPr>
          <w:b/>
        </w:rPr>
        <w:t>[</w:t>
      </w:r>
      <w:r w:rsidRPr="00B62012">
        <w:rPr>
          <w:b/>
        </w:rPr>
        <w:t>NAME</w:t>
      </w:r>
      <w:r w:rsidR="008B7E64">
        <w:t>]</w:t>
      </w:r>
      <w:r>
        <w:t xml:space="preserve"> Community Foundation maintains and manages much information that must be kept confidential.  This includes information about donors, prospective donors, grantees, prospective grantees, and wealth advisors and their firms.  The effective functioning of the Foundation also requires respecting the confidentiality of discussions that take place and information that is shared in the course of conducting Foundation business.</w:t>
      </w:r>
    </w:p>
    <w:p w14:paraId="0D590F07" w14:textId="77777777" w:rsidR="00355775" w:rsidRPr="008F2455" w:rsidRDefault="00355775" w:rsidP="00355775">
      <w:r>
        <w:t xml:space="preserve">The Foundation’s Board has adopted this Policy on Confidentiality to assist the Foundation’s directors, officers, employees, agents, fiduciaries and volunteers in fulfilling their </w:t>
      </w:r>
      <w:r w:rsidR="008B7E64">
        <w:t xml:space="preserve">confidentiality obligations and commitments.  While the policy addresses some common confidentiality concerns, it is not an exhaustive list of all situations where a confidentiality obligation may arise.  Questions about </w:t>
      </w:r>
      <w:r w:rsidR="0068383C">
        <w:t>whether</w:t>
      </w:r>
      <w:r w:rsidR="008B7E64">
        <w:t xml:space="preserve"> information is confidential or about situations in which confidential information may be released or discussed should be directed to </w:t>
      </w:r>
      <w:r w:rsidR="008B7E64" w:rsidRPr="008B7E64">
        <w:rPr>
          <w:b/>
        </w:rPr>
        <w:t xml:space="preserve">[identify the person or persons to whom questions should be directed.    </w:t>
      </w:r>
      <w:r w:rsidR="008B7E64">
        <w:rPr>
          <w:b/>
        </w:rPr>
        <w:t>For example, foundation staff might consult their supervisor; others might be directed to the foundation’s CEO, the board chair, and/or the chair of an appropriate board committee.]</w:t>
      </w:r>
      <w:r w:rsidR="008F2455">
        <w:t xml:space="preserve">.  As used in this Policy, the term “Foundation personnel” includes the Foundation’s </w:t>
      </w:r>
      <w:r w:rsidR="005802F3">
        <w:t>directors and officers,</w:t>
      </w:r>
      <w:r w:rsidR="008F2455">
        <w:t xml:space="preserve"> </w:t>
      </w:r>
      <w:r w:rsidR="005802F3">
        <w:t xml:space="preserve">employees, agents, fiduciaries, consultants and volunteers.  </w:t>
      </w:r>
    </w:p>
    <w:p w14:paraId="0D590F08" w14:textId="77777777" w:rsidR="0068383C" w:rsidRDefault="001A50D1" w:rsidP="001A50D1">
      <w:pPr>
        <w:rPr>
          <w:szCs w:val="24"/>
        </w:rPr>
      </w:pPr>
      <w:r w:rsidRPr="001A50D1">
        <w:rPr>
          <w:b/>
          <w:sz w:val="28"/>
          <w:szCs w:val="28"/>
        </w:rPr>
        <w:t xml:space="preserve">General Rule:  </w:t>
      </w:r>
      <w:r>
        <w:rPr>
          <w:szCs w:val="24"/>
        </w:rPr>
        <w:t xml:space="preserve">Information in the possession of the Foundation and discussions of Foundation business should generally be presumed to be confidential.  All Foundation personnel at every level </w:t>
      </w:r>
      <w:r w:rsidR="0068383C">
        <w:rPr>
          <w:szCs w:val="24"/>
        </w:rPr>
        <w:t>are</w:t>
      </w:r>
      <w:r>
        <w:rPr>
          <w:szCs w:val="24"/>
        </w:rPr>
        <w:t xml:space="preserve"> responsible for maintaining confidentiality. </w:t>
      </w:r>
    </w:p>
    <w:p w14:paraId="0D590F09" w14:textId="77777777" w:rsidR="008B7E64" w:rsidRDefault="0068383C" w:rsidP="001A50D1">
      <w:pPr>
        <w:rPr>
          <w:szCs w:val="24"/>
        </w:rPr>
      </w:pPr>
      <w:r>
        <w:rPr>
          <w:b/>
          <w:sz w:val="28"/>
          <w:szCs w:val="28"/>
        </w:rPr>
        <w:t xml:space="preserve">Confidentiality of Donor Information: </w:t>
      </w:r>
      <w:r w:rsidR="005802F3">
        <w:rPr>
          <w:szCs w:val="24"/>
        </w:rPr>
        <w:t xml:space="preserve"> </w:t>
      </w:r>
      <w:r w:rsidR="00567153">
        <w:rPr>
          <w:szCs w:val="24"/>
        </w:rPr>
        <w:t>Except as required by law, t</w:t>
      </w:r>
      <w:r w:rsidR="005802F3">
        <w:rPr>
          <w:szCs w:val="24"/>
        </w:rPr>
        <w:t>he Foundation will not disclose information about a donor or a donor’s gift.  However, u</w:t>
      </w:r>
      <w:r w:rsidR="00F9738A">
        <w:rPr>
          <w:szCs w:val="24"/>
        </w:rPr>
        <w:t xml:space="preserve">nless otherwise requested by the donor, the Foundation may publish the names of individual donors in the Foundation’s Annual Report and other reported listings.  </w:t>
      </w:r>
      <w:r w:rsidR="005802F3">
        <w:rPr>
          <w:szCs w:val="24"/>
        </w:rPr>
        <w:t xml:space="preserve"> In the case of memorial gifts, t</w:t>
      </w:r>
      <w:r w:rsidR="00F9738A">
        <w:rPr>
          <w:szCs w:val="24"/>
        </w:rPr>
        <w:t xml:space="preserve">he Foundation will provide the names of donors to members of the immediate family </w:t>
      </w:r>
      <w:r w:rsidR="005802F3">
        <w:rPr>
          <w:szCs w:val="24"/>
        </w:rPr>
        <w:t>unless the donor has requested anonymity</w:t>
      </w:r>
      <w:r w:rsidR="00F9738A">
        <w:rPr>
          <w:szCs w:val="24"/>
        </w:rPr>
        <w:t>.  The Foundation will not disclose the amount of any gift without the donor’s consent.</w:t>
      </w:r>
      <w:r w:rsidR="005802F3">
        <w:rPr>
          <w:szCs w:val="24"/>
        </w:rPr>
        <w:t xml:space="preserve">  The Foundation may accept anonymous gifts to it on a case by case basis.</w:t>
      </w:r>
    </w:p>
    <w:p w14:paraId="0D590F0A" w14:textId="77777777" w:rsidR="00A41A2A" w:rsidRPr="00A41A2A" w:rsidRDefault="00A41A2A" w:rsidP="001A50D1">
      <w:pPr>
        <w:rPr>
          <w:b/>
          <w:szCs w:val="24"/>
        </w:rPr>
      </w:pPr>
      <w:r>
        <w:rPr>
          <w:b/>
          <w:sz w:val="28"/>
          <w:szCs w:val="28"/>
        </w:rPr>
        <w:t xml:space="preserve">Confidentiality with respect to Grant Applicants and Grantees:  </w:t>
      </w:r>
      <w:r>
        <w:rPr>
          <w:szCs w:val="24"/>
        </w:rPr>
        <w:t xml:space="preserve">The Foundation will not disclose the identity of grant applicants except as necessary to process the application and </w:t>
      </w:r>
      <w:r>
        <w:rPr>
          <w:szCs w:val="24"/>
        </w:rPr>
        <w:lastRenderedPageBreak/>
        <w:t xml:space="preserve">will protect financial and personal information that applicants submit to it.  This includes information provided by applicants for grants to individuals such as scholarships and hardship assistance.  Except in the case of hardship assistance grants to individuals, the Foundation will generally disclose the identity of grantees and the amount awarded </w:t>
      </w:r>
      <w:r>
        <w:rPr>
          <w:b/>
          <w:szCs w:val="24"/>
        </w:rPr>
        <w:t>[this can be varied if the Foundation does not generally disclose the identity of scholarship recipients and/or the amount awarded].</w:t>
      </w:r>
    </w:p>
    <w:p w14:paraId="0D590F0B" w14:textId="77777777" w:rsidR="00C11BA5" w:rsidRDefault="00C11BA5" w:rsidP="008F4752">
      <w:pPr>
        <w:rPr>
          <w:szCs w:val="24"/>
        </w:rPr>
      </w:pPr>
      <w:r>
        <w:rPr>
          <w:b/>
          <w:sz w:val="28"/>
          <w:szCs w:val="28"/>
        </w:rPr>
        <w:t xml:space="preserve">Confidentiality of Foundation Business:  </w:t>
      </w:r>
      <w:r w:rsidR="008F4752">
        <w:rPr>
          <w:szCs w:val="24"/>
        </w:rPr>
        <w:t>Except as authorized by the Foundation’s board, or by an appropriate board committee, d</w:t>
      </w:r>
      <w:r>
        <w:rPr>
          <w:szCs w:val="24"/>
        </w:rPr>
        <w:t xml:space="preserve">iscussions and records of the Foundation’s operations are generally not to be disclosed. </w:t>
      </w:r>
      <w:r w:rsidR="008F4752">
        <w:rPr>
          <w:szCs w:val="24"/>
        </w:rPr>
        <w:t xml:space="preserve"> This includes information about the Foundation’s financial operations, fundraising, investments, personnel, grantmaking, and contractual relationships.  </w:t>
      </w:r>
      <w:r>
        <w:rPr>
          <w:szCs w:val="24"/>
        </w:rPr>
        <w:t xml:space="preserve"> The positions of individual directors, officers, employees, agents, fiduciaries</w:t>
      </w:r>
      <w:r w:rsidR="008F4752">
        <w:rPr>
          <w:szCs w:val="24"/>
        </w:rPr>
        <w:t xml:space="preserve">, and volunteers should not be discussed, even within the Foundation, except in the course of official Foundation meetings and processes where those subjects are discussed.  </w:t>
      </w:r>
    </w:p>
    <w:p w14:paraId="0D590F0C" w14:textId="77777777" w:rsidR="00B62012" w:rsidRDefault="00690227" w:rsidP="008F4752">
      <w:pPr>
        <w:rPr>
          <w:szCs w:val="24"/>
        </w:rPr>
      </w:pPr>
      <w:r w:rsidRPr="00B62012">
        <w:rPr>
          <w:b/>
          <w:sz w:val="28"/>
          <w:szCs w:val="28"/>
        </w:rPr>
        <w:t>Exceptions:</w:t>
      </w:r>
      <w:r w:rsidRPr="00B62012">
        <w:rPr>
          <w:szCs w:val="24"/>
        </w:rPr>
        <w:t xml:space="preserve"> </w:t>
      </w:r>
      <w:r w:rsidR="00B62012" w:rsidRPr="00B62012">
        <w:rPr>
          <w:szCs w:val="24"/>
        </w:rPr>
        <w:t xml:space="preserve"> This policy does not apply to disclosures to </w:t>
      </w:r>
      <w:r w:rsidR="00B62012">
        <w:t xml:space="preserve">attorneys, accountants and other professionals </w:t>
      </w:r>
      <w:proofErr w:type="gramStart"/>
      <w:r w:rsidR="00B62012">
        <w:t>providing assistance to</w:t>
      </w:r>
      <w:proofErr w:type="gramEnd"/>
      <w:r w:rsidR="00B62012">
        <w:t xml:space="preserve"> the foundation.  It also does not apply to disclosures to tax authorities, government agencies, courts, or as otherwise required by law.  </w:t>
      </w:r>
    </w:p>
    <w:p w14:paraId="0D590F0D" w14:textId="77777777" w:rsidR="00690227" w:rsidRDefault="00690227" w:rsidP="008F4752">
      <w:pPr>
        <w:rPr>
          <w:szCs w:val="24"/>
        </w:rPr>
      </w:pPr>
      <w:r>
        <w:rPr>
          <w:szCs w:val="24"/>
        </w:rPr>
        <w:t>The following are considered public documents and information contained in them is not subject to the confidentiality requirements of this policy:</w:t>
      </w:r>
    </w:p>
    <w:p w14:paraId="0D590F0E" w14:textId="77777777" w:rsidR="00690227" w:rsidRDefault="00690227" w:rsidP="00690227">
      <w:pPr>
        <w:pStyle w:val="ListParagraph"/>
        <w:numPr>
          <w:ilvl w:val="0"/>
          <w:numId w:val="1"/>
        </w:numPr>
        <w:rPr>
          <w:szCs w:val="24"/>
        </w:rPr>
      </w:pPr>
      <w:r>
        <w:rPr>
          <w:szCs w:val="24"/>
        </w:rPr>
        <w:t>T</w:t>
      </w:r>
      <w:r w:rsidRPr="00690227">
        <w:rPr>
          <w:szCs w:val="24"/>
        </w:rPr>
        <w:t xml:space="preserve">he Foundation’s annual report or financial review once </w:t>
      </w:r>
      <w:r>
        <w:rPr>
          <w:szCs w:val="24"/>
        </w:rPr>
        <w:t xml:space="preserve">it has been </w:t>
      </w:r>
      <w:r w:rsidRPr="00690227">
        <w:rPr>
          <w:szCs w:val="24"/>
        </w:rPr>
        <w:t xml:space="preserve">accepted by the board.  </w:t>
      </w:r>
    </w:p>
    <w:p w14:paraId="0D590F0F" w14:textId="77777777" w:rsidR="00690227" w:rsidRDefault="00690227" w:rsidP="00690227">
      <w:pPr>
        <w:pStyle w:val="ListParagraph"/>
        <w:numPr>
          <w:ilvl w:val="0"/>
          <w:numId w:val="1"/>
        </w:numPr>
        <w:rPr>
          <w:szCs w:val="24"/>
        </w:rPr>
      </w:pPr>
      <w:r>
        <w:rPr>
          <w:szCs w:val="24"/>
        </w:rPr>
        <w:t>T</w:t>
      </w:r>
      <w:r w:rsidRPr="00690227">
        <w:rPr>
          <w:szCs w:val="24"/>
        </w:rPr>
        <w:t>he Foundation’s Form 990</w:t>
      </w:r>
      <w:r w:rsidR="009B6E31">
        <w:rPr>
          <w:szCs w:val="24"/>
        </w:rPr>
        <w:t xml:space="preserve"> as required to be publicly disclosed</w:t>
      </w:r>
      <w:r w:rsidRPr="00690227">
        <w:rPr>
          <w:szCs w:val="24"/>
        </w:rPr>
        <w:t xml:space="preserve">.  </w:t>
      </w:r>
      <w:r w:rsidR="009B6E31">
        <w:rPr>
          <w:szCs w:val="24"/>
        </w:rPr>
        <w:t>This does not include the names and addresses of donors as that information is not required to be disclosed.</w:t>
      </w:r>
    </w:p>
    <w:p w14:paraId="0D590F10" w14:textId="77777777" w:rsidR="009B6E31" w:rsidRDefault="008F2455" w:rsidP="00690227">
      <w:pPr>
        <w:pStyle w:val="ListParagraph"/>
        <w:numPr>
          <w:ilvl w:val="0"/>
          <w:numId w:val="1"/>
        </w:numPr>
        <w:rPr>
          <w:szCs w:val="24"/>
        </w:rPr>
      </w:pPr>
      <w:r>
        <w:rPr>
          <w:szCs w:val="24"/>
        </w:rPr>
        <w:t>The Foundation’s investment and spending policies</w:t>
      </w:r>
    </w:p>
    <w:p w14:paraId="0D590F11" w14:textId="77777777" w:rsidR="005802F3" w:rsidRDefault="005802F3" w:rsidP="00690227">
      <w:pPr>
        <w:pStyle w:val="ListParagraph"/>
        <w:numPr>
          <w:ilvl w:val="0"/>
          <w:numId w:val="1"/>
        </w:numPr>
        <w:rPr>
          <w:szCs w:val="24"/>
        </w:rPr>
      </w:pPr>
      <w:r>
        <w:rPr>
          <w:b/>
          <w:sz w:val="22"/>
          <w:szCs w:val="24"/>
        </w:rPr>
        <w:t>[any other documents the Foundation routinely discloses such as reports on investment performance]</w:t>
      </w:r>
    </w:p>
    <w:p w14:paraId="0D590F12" w14:textId="77777777" w:rsidR="008F2455" w:rsidRDefault="008F2455" w:rsidP="008F2455">
      <w:pPr>
        <w:rPr>
          <w:szCs w:val="24"/>
        </w:rPr>
      </w:pPr>
      <w:r>
        <w:rPr>
          <w:b/>
          <w:sz w:val="28"/>
          <w:szCs w:val="28"/>
        </w:rPr>
        <w:t>Protection of Confidential Information:</w:t>
      </w:r>
      <w:r>
        <w:rPr>
          <w:szCs w:val="24"/>
        </w:rPr>
        <w:t xml:space="preserve">  Foundation personnel</w:t>
      </w:r>
      <w:r w:rsidR="005802F3">
        <w:rPr>
          <w:szCs w:val="24"/>
        </w:rPr>
        <w:t xml:space="preserve"> who have executed a copy of this policy</w:t>
      </w:r>
      <w:r>
        <w:rPr>
          <w:szCs w:val="24"/>
        </w:rPr>
        <w:t xml:space="preserve"> may access confidential information necessary to the performance of their functions.  Foundation personnel are expected to exercise sound judgment in securing information taken outside the Foundation’s offices or copied from its network.  Any information so removed should be returned as soon as possible and deleted from laptops or other personal devices </w:t>
      </w:r>
      <w:r>
        <w:rPr>
          <w:b/>
          <w:szCs w:val="24"/>
        </w:rPr>
        <w:t xml:space="preserve">[if the Foundation has an </w:t>
      </w:r>
      <w:r w:rsidR="005802F3">
        <w:rPr>
          <w:b/>
          <w:szCs w:val="24"/>
        </w:rPr>
        <w:t>information technology</w:t>
      </w:r>
      <w:r>
        <w:rPr>
          <w:b/>
          <w:szCs w:val="24"/>
        </w:rPr>
        <w:t xml:space="preserve"> policy, substitute a reference or incorporate it here]</w:t>
      </w:r>
      <w:r>
        <w:rPr>
          <w:szCs w:val="24"/>
        </w:rPr>
        <w:t xml:space="preserve">.     </w:t>
      </w:r>
    </w:p>
    <w:p w14:paraId="0D590F14" w14:textId="5D2453F6" w:rsidR="00567153" w:rsidRDefault="00567153" w:rsidP="00FA3F1E">
      <w:pPr>
        <w:rPr>
          <w:rFonts w:cs="Calibri"/>
          <w:szCs w:val="24"/>
        </w:rPr>
      </w:pPr>
      <w:r>
        <w:rPr>
          <w:b/>
          <w:sz w:val="28"/>
          <w:szCs w:val="28"/>
        </w:rPr>
        <w:br w:type="page"/>
      </w:r>
      <w:r w:rsidR="00B62012" w:rsidRPr="00B62012">
        <w:rPr>
          <w:b/>
          <w:sz w:val="28"/>
          <w:szCs w:val="28"/>
        </w:rPr>
        <w:lastRenderedPageBreak/>
        <w:t xml:space="preserve">Penalties: </w:t>
      </w:r>
      <w:r w:rsidR="00B62012">
        <w:rPr>
          <w:b/>
          <w:sz w:val="28"/>
          <w:szCs w:val="28"/>
        </w:rPr>
        <w:t xml:space="preserve"> </w:t>
      </w:r>
      <w:r w:rsidR="00B62012">
        <w:rPr>
          <w:rFonts w:cs="Calibri"/>
          <w:szCs w:val="24"/>
        </w:rPr>
        <w:t>Penalties for violating this policy can include sanction or termination of employees and removal of board members.</w:t>
      </w:r>
    </w:p>
    <w:p w14:paraId="0D590F15" w14:textId="77777777" w:rsidR="00567153" w:rsidRDefault="00567153" w:rsidP="00B62012">
      <w:pPr>
        <w:spacing w:after="0" w:line="240" w:lineRule="auto"/>
        <w:rPr>
          <w:rFonts w:cs="Calibri"/>
          <w:szCs w:val="24"/>
        </w:rPr>
      </w:pPr>
    </w:p>
    <w:p w14:paraId="0D590F16" w14:textId="77777777" w:rsidR="00B62012" w:rsidRDefault="00B62012" w:rsidP="00B62012">
      <w:pPr>
        <w:spacing w:after="0" w:line="240" w:lineRule="auto"/>
        <w:rPr>
          <w:rFonts w:cs="Calibri"/>
          <w:szCs w:val="24"/>
        </w:rPr>
      </w:pPr>
    </w:p>
    <w:p w14:paraId="0D590F17" w14:textId="77777777" w:rsidR="005802F3" w:rsidRPr="00567153" w:rsidRDefault="005802F3" w:rsidP="008F2455">
      <w:pPr>
        <w:rPr>
          <w:b/>
          <w:szCs w:val="24"/>
        </w:rPr>
      </w:pPr>
      <w:r w:rsidRPr="00567153">
        <w:rPr>
          <w:b/>
          <w:szCs w:val="24"/>
        </w:rPr>
        <w:t xml:space="preserve">I have </w:t>
      </w:r>
      <w:r w:rsidR="00A41A2A" w:rsidRPr="00567153">
        <w:rPr>
          <w:b/>
          <w:szCs w:val="24"/>
        </w:rPr>
        <w:t>read the Policy on Confidentiality and agree to comply with it.</w:t>
      </w:r>
    </w:p>
    <w:p w14:paraId="0D590F18" w14:textId="77777777" w:rsidR="00567153" w:rsidRDefault="00567153" w:rsidP="008F2455">
      <w:pPr>
        <w:rPr>
          <w:szCs w:val="24"/>
        </w:rPr>
      </w:pPr>
    </w:p>
    <w:p w14:paraId="0D590F19" w14:textId="77777777" w:rsidR="00B62012" w:rsidRDefault="00B62012" w:rsidP="00B62012">
      <w:pPr>
        <w:autoSpaceDE w:val="0"/>
        <w:autoSpaceDN w:val="0"/>
        <w:adjustRightInd w:val="0"/>
        <w:rPr>
          <w:rFonts w:cs="Times-Roman"/>
          <w:b/>
        </w:rPr>
      </w:pPr>
      <w:r>
        <w:rPr>
          <w:rFonts w:cs="Times-Roman"/>
          <w:b/>
        </w:rPr>
        <w:t>__________________________</w:t>
      </w:r>
      <w:r>
        <w:rPr>
          <w:rFonts w:cs="Times-Roman"/>
          <w:b/>
        </w:rPr>
        <w:tab/>
        <w:t xml:space="preserve">         __________________________</w:t>
      </w:r>
      <w:r>
        <w:rPr>
          <w:rFonts w:cs="Times-Roman"/>
          <w:b/>
        </w:rPr>
        <w:tab/>
        <w:t xml:space="preserve">         ____________ </w:t>
      </w:r>
    </w:p>
    <w:p w14:paraId="0D590F1A" w14:textId="77777777" w:rsidR="00B62012" w:rsidRDefault="00B62012" w:rsidP="00B62012">
      <w:pPr>
        <w:autoSpaceDE w:val="0"/>
        <w:autoSpaceDN w:val="0"/>
        <w:adjustRightInd w:val="0"/>
        <w:rPr>
          <w:rFonts w:ascii="Tahoma" w:hAnsi="Tahoma" w:cs="Tahoma"/>
          <w:b/>
          <w:sz w:val="20"/>
          <w:szCs w:val="20"/>
        </w:rPr>
      </w:pPr>
      <w:r>
        <w:rPr>
          <w:rFonts w:ascii="Tahoma" w:hAnsi="Tahoma" w:cs="Tahoma"/>
          <w:b/>
          <w:sz w:val="20"/>
          <w:szCs w:val="20"/>
        </w:rPr>
        <w:t>Printed Name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Signature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Date</w:t>
      </w:r>
    </w:p>
    <w:p w14:paraId="0D590F1B" w14:textId="77777777" w:rsidR="00B62012" w:rsidRDefault="00B62012" w:rsidP="00B62012">
      <w:pPr>
        <w:autoSpaceDE w:val="0"/>
        <w:autoSpaceDN w:val="0"/>
        <w:adjustRightInd w:val="0"/>
        <w:rPr>
          <w:rFonts w:ascii="Times New Roman" w:hAnsi="Times New Roman" w:cs="Times-Roman"/>
          <w:szCs w:val="24"/>
        </w:rPr>
      </w:pPr>
    </w:p>
    <w:p w14:paraId="0D590F1C" w14:textId="77777777" w:rsidR="00B62012" w:rsidRDefault="00B62012" w:rsidP="00B62012">
      <w:pPr>
        <w:autoSpaceDE w:val="0"/>
        <w:autoSpaceDN w:val="0"/>
        <w:adjustRightInd w:val="0"/>
        <w:rPr>
          <w:rFonts w:ascii="Tahoma" w:hAnsi="Tahoma" w:cs="Tahoma"/>
          <w:b/>
          <w:sz w:val="20"/>
          <w:szCs w:val="20"/>
        </w:rPr>
      </w:pPr>
      <w:r>
        <w:rPr>
          <w:rFonts w:ascii="Tahoma" w:hAnsi="Tahoma" w:cs="Tahoma"/>
          <w:b/>
          <w:sz w:val="20"/>
          <w:szCs w:val="20"/>
        </w:rPr>
        <w:t>I am a:    _____ Board Member               _____ Staff Member</w:t>
      </w:r>
      <w:r>
        <w:rPr>
          <w:rFonts w:ascii="Tahoma" w:hAnsi="Tahoma" w:cs="Tahoma"/>
          <w:b/>
          <w:sz w:val="20"/>
          <w:szCs w:val="20"/>
        </w:rPr>
        <w:tab/>
        <w:t>___ Volunteer</w:t>
      </w:r>
    </w:p>
    <w:p w14:paraId="0D590F1D" w14:textId="77777777" w:rsidR="00B62012" w:rsidRDefault="00B62012" w:rsidP="00B62012">
      <w:pPr>
        <w:autoSpaceDE w:val="0"/>
        <w:autoSpaceDN w:val="0"/>
        <w:adjustRightInd w:val="0"/>
        <w:rPr>
          <w:rFonts w:ascii="Tahoma" w:hAnsi="Tahoma" w:cs="Tahoma"/>
          <w:b/>
          <w:sz w:val="20"/>
          <w:szCs w:val="20"/>
        </w:rPr>
      </w:pPr>
      <w:r>
        <w:rPr>
          <w:rFonts w:ascii="Tahoma" w:hAnsi="Tahoma" w:cs="Tahoma"/>
          <w:b/>
          <w:sz w:val="20"/>
          <w:szCs w:val="20"/>
        </w:rPr>
        <w:tab/>
      </w:r>
    </w:p>
    <w:p w14:paraId="0D590F1E" w14:textId="77777777" w:rsidR="00B62012" w:rsidRDefault="00B62012" w:rsidP="00B62012">
      <w:pPr>
        <w:autoSpaceDE w:val="0"/>
        <w:autoSpaceDN w:val="0"/>
        <w:adjustRightInd w:val="0"/>
        <w:rPr>
          <w:rFonts w:ascii="Tahoma" w:hAnsi="Tahoma" w:cs="Tahoma"/>
          <w:b/>
          <w:sz w:val="20"/>
          <w:szCs w:val="20"/>
        </w:rPr>
      </w:pPr>
      <w:r>
        <w:rPr>
          <w:rFonts w:ascii="Tahoma" w:hAnsi="Tahoma" w:cs="Tahoma"/>
          <w:b/>
          <w:sz w:val="20"/>
          <w:szCs w:val="20"/>
        </w:rPr>
        <w:tab/>
        <w:t>_____ Consultant/Contractor</w:t>
      </w:r>
      <w:r>
        <w:rPr>
          <w:rFonts w:ascii="Tahoma" w:hAnsi="Tahoma" w:cs="Tahoma"/>
          <w:b/>
          <w:sz w:val="20"/>
          <w:szCs w:val="20"/>
        </w:rPr>
        <w:tab/>
      </w:r>
    </w:p>
    <w:p w14:paraId="0D590F1F" w14:textId="77777777" w:rsidR="00A41A2A" w:rsidRPr="005802F3" w:rsidRDefault="00A41A2A" w:rsidP="008F2455">
      <w:pPr>
        <w:rPr>
          <w:szCs w:val="24"/>
        </w:rPr>
      </w:pPr>
    </w:p>
    <w:p w14:paraId="0D590F20" w14:textId="77777777" w:rsidR="008B7E64" w:rsidRPr="008B7E64" w:rsidRDefault="008B7E64" w:rsidP="008B7E64">
      <w:pPr>
        <w:pStyle w:val="Heading2"/>
        <w:rPr>
          <w:rStyle w:val="Strong"/>
        </w:rPr>
      </w:pPr>
    </w:p>
    <w:sectPr w:rsidR="008B7E64" w:rsidRPr="008B7E64" w:rsidSect="005671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0F23" w14:textId="77777777" w:rsidR="00167F5D" w:rsidRDefault="00167F5D" w:rsidP="00567153">
      <w:pPr>
        <w:spacing w:after="0" w:line="240" w:lineRule="auto"/>
      </w:pPr>
      <w:r>
        <w:separator/>
      </w:r>
    </w:p>
  </w:endnote>
  <w:endnote w:type="continuationSeparator" w:id="0">
    <w:p w14:paraId="0D590F24" w14:textId="77777777" w:rsidR="00167F5D" w:rsidRDefault="00167F5D" w:rsidP="0056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6AD3" w14:textId="77777777" w:rsidR="009E452C" w:rsidRDefault="009E4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A9A9" w14:textId="77777777" w:rsidR="009E452C" w:rsidRDefault="009E4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B25B" w14:textId="77777777" w:rsidR="00FA3F1E" w:rsidRDefault="00FA3F1E" w:rsidP="0021078E">
    <w:pPr>
      <w:spacing w:after="0" w:line="240" w:lineRule="auto"/>
      <w:jc w:val="both"/>
      <w:rPr>
        <w:sz w:val="20"/>
        <w:szCs w:val="20"/>
      </w:rPr>
    </w:pPr>
  </w:p>
  <w:p w14:paraId="0D590F27" w14:textId="6FC8C377" w:rsidR="0021078E" w:rsidRDefault="0021078E" w:rsidP="0021078E">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0D590F28" w14:textId="730EB34D" w:rsidR="0021078E" w:rsidRPr="0021078E" w:rsidRDefault="0021078E" w:rsidP="0021078E">
    <w:pPr>
      <w:spacing w:after="0" w:line="240" w:lineRule="auto"/>
      <w:jc w:val="both"/>
      <w:rPr>
        <w:sz w:val="20"/>
        <w:szCs w:val="20"/>
      </w:rPr>
    </w:pPr>
    <w:r>
      <w:rPr>
        <w:sz w:val="20"/>
        <w:szCs w:val="20"/>
      </w:rPr>
      <w:t>This sample document is</w:t>
    </w:r>
    <w:r>
      <w:rPr>
        <w:sz w:val="20"/>
        <w:szCs w:val="20"/>
        <w:lang w:val="en"/>
      </w:rPr>
      <w:t xml:space="preserve"> being provided for informational purposes </w:t>
    </w:r>
    <w:bookmarkStart w:id="0" w:name="_GoBack"/>
    <w:bookmarkEnd w:id="0"/>
    <w:r>
      <w:rPr>
        <w:sz w:val="20"/>
        <w:szCs w:val="20"/>
        <w:lang w:val="en"/>
      </w:rPr>
      <w:t>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0D590F29" w14:textId="77777777" w:rsidR="0021078E" w:rsidRDefault="00210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0F21" w14:textId="77777777" w:rsidR="00167F5D" w:rsidRDefault="00167F5D" w:rsidP="00567153">
      <w:pPr>
        <w:spacing w:after="0" w:line="240" w:lineRule="auto"/>
      </w:pPr>
      <w:r>
        <w:separator/>
      </w:r>
    </w:p>
  </w:footnote>
  <w:footnote w:type="continuationSeparator" w:id="0">
    <w:p w14:paraId="0D590F22" w14:textId="77777777" w:rsidR="00167F5D" w:rsidRDefault="00167F5D" w:rsidP="00567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D920" w14:textId="77777777" w:rsidR="009E452C" w:rsidRDefault="009E4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0F25" w14:textId="77777777" w:rsidR="00567153" w:rsidRDefault="00567153">
    <w:pPr>
      <w:pStyle w:val="Header"/>
    </w:pPr>
    <w:r>
      <w:t xml:space="preserve">Page </w:t>
    </w:r>
    <w:r>
      <w:fldChar w:fldCharType="begin"/>
    </w:r>
    <w:r>
      <w:instrText xml:space="preserve"> PAGE   \* MERGEFORMAT </w:instrText>
    </w:r>
    <w:r>
      <w:fldChar w:fldCharType="separate"/>
    </w:r>
    <w:r w:rsidR="006D7226">
      <w:rPr>
        <w:noProof/>
      </w:rPr>
      <w:t>2</w:t>
    </w:r>
    <w:r>
      <w:rPr>
        <w:noProof/>
      </w:rPr>
      <w:fldChar w:fldCharType="end"/>
    </w:r>
  </w:p>
  <w:p w14:paraId="0D590F26" w14:textId="77777777" w:rsidR="00567153" w:rsidRDefault="00567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D749" w14:textId="77777777" w:rsidR="009E452C" w:rsidRDefault="009E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6CC"/>
    <w:multiLevelType w:val="hybridMultilevel"/>
    <w:tmpl w:val="D43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643A0"/>
    <w:multiLevelType w:val="hybridMultilevel"/>
    <w:tmpl w:val="229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75"/>
    <w:rsid w:val="00167F5D"/>
    <w:rsid w:val="001A50D1"/>
    <w:rsid w:val="0021078E"/>
    <w:rsid w:val="00355775"/>
    <w:rsid w:val="00567153"/>
    <w:rsid w:val="005802F3"/>
    <w:rsid w:val="0068383C"/>
    <w:rsid w:val="00690227"/>
    <w:rsid w:val="006D7226"/>
    <w:rsid w:val="00845C37"/>
    <w:rsid w:val="008B7E64"/>
    <w:rsid w:val="008F2455"/>
    <w:rsid w:val="008F357C"/>
    <w:rsid w:val="008F4752"/>
    <w:rsid w:val="009B6E31"/>
    <w:rsid w:val="009D40C9"/>
    <w:rsid w:val="009E452C"/>
    <w:rsid w:val="00A41A2A"/>
    <w:rsid w:val="00B62012"/>
    <w:rsid w:val="00C11BA5"/>
    <w:rsid w:val="00D34675"/>
    <w:rsid w:val="00F9738A"/>
    <w:rsid w:val="00FA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0F04"/>
  <w15:docId w15:val="{8E4337B0-E9E7-4444-9667-9A11BF6E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775"/>
    <w:rPr>
      <w:sz w:val="24"/>
    </w:rPr>
  </w:style>
  <w:style w:type="paragraph" w:styleId="Heading1">
    <w:name w:val="heading 1"/>
    <w:basedOn w:val="Normal"/>
    <w:next w:val="Normal"/>
    <w:link w:val="Heading1Char"/>
    <w:uiPriority w:val="9"/>
    <w:qFormat/>
    <w:rsid w:val="008B7E64"/>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8B7E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57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577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B7E64"/>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8B7E6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B7E64"/>
    <w:rPr>
      <w:i/>
      <w:iCs/>
    </w:rPr>
  </w:style>
  <w:style w:type="character" w:styleId="Strong">
    <w:name w:val="Strong"/>
    <w:basedOn w:val="DefaultParagraphFont"/>
    <w:uiPriority w:val="22"/>
    <w:qFormat/>
    <w:rsid w:val="008B7E64"/>
    <w:rPr>
      <w:b/>
      <w:bCs/>
    </w:rPr>
  </w:style>
  <w:style w:type="paragraph" w:styleId="ListParagraph">
    <w:name w:val="List Paragraph"/>
    <w:basedOn w:val="Normal"/>
    <w:uiPriority w:val="34"/>
    <w:qFormat/>
    <w:rsid w:val="00690227"/>
    <w:pPr>
      <w:ind w:left="720"/>
      <w:contextualSpacing/>
    </w:pPr>
  </w:style>
  <w:style w:type="paragraph" w:styleId="Header">
    <w:name w:val="header"/>
    <w:basedOn w:val="Normal"/>
    <w:link w:val="HeaderChar"/>
    <w:uiPriority w:val="99"/>
    <w:unhideWhenUsed/>
    <w:rsid w:val="00567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153"/>
    <w:rPr>
      <w:sz w:val="24"/>
    </w:rPr>
  </w:style>
  <w:style w:type="paragraph" w:styleId="Footer">
    <w:name w:val="footer"/>
    <w:basedOn w:val="Normal"/>
    <w:link w:val="FooterChar"/>
    <w:uiPriority w:val="99"/>
    <w:unhideWhenUsed/>
    <w:rsid w:val="0056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53"/>
    <w:rPr>
      <w:sz w:val="24"/>
    </w:rPr>
  </w:style>
  <w:style w:type="paragraph" w:styleId="BalloonText">
    <w:name w:val="Balloon Text"/>
    <w:basedOn w:val="Normal"/>
    <w:link w:val="BalloonTextChar"/>
    <w:uiPriority w:val="99"/>
    <w:semiHidden/>
    <w:unhideWhenUsed/>
    <w:rsid w:val="0056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53"/>
    <w:rPr>
      <w:rFonts w:ascii="Tahoma" w:hAnsi="Tahoma" w:cs="Tahoma"/>
      <w:sz w:val="16"/>
      <w:szCs w:val="16"/>
    </w:rPr>
  </w:style>
  <w:style w:type="character" w:styleId="Hyperlink">
    <w:name w:val="Hyperlink"/>
    <w:basedOn w:val="DefaultParagraphFont"/>
    <w:uiPriority w:val="99"/>
    <w:semiHidden/>
    <w:unhideWhenUsed/>
    <w:rsid w:val="00210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1958">
      <w:bodyDiv w:val="1"/>
      <w:marLeft w:val="0"/>
      <w:marRight w:val="0"/>
      <w:marTop w:val="0"/>
      <w:marBottom w:val="0"/>
      <w:divBdr>
        <w:top w:val="none" w:sz="0" w:space="0" w:color="auto"/>
        <w:left w:val="none" w:sz="0" w:space="0" w:color="auto"/>
        <w:bottom w:val="none" w:sz="0" w:space="0" w:color="auto"/>
        <w:right w:val="none" w:sz="0" w:space="0" w:color="auto"/>
      </w:divBdr>
    </w:div>
    <w:div w:id="15926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5</cp:revision>
  <dcterms:created xsi:type="dcterms:W3CDTF">2014-11-10T19:04:00Z</dcterms:created>
  <dcterms:modified xsi:type="dcterms:W3CDTF">2019-02-13T20:25:00Z</dcterms:modified>
</cp:coreProperties>
</file>